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  <w:r w:rsidR="00382583" w:rsidRPr="00382583">
        <w:rPr>
          <w:sz w:val="24"/>
        </w:rPr>
        <w:t xml:space="preserve">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Главного государственного </w:t>
      </w:r>
      <w:proofErr w:type="gramStart"/>
      <w:r w:rsidRPr="00382583">
        <w:rPr>
          <w:sz w:val="24"/>
        </w:rPr>
        <w:t>с</w:t>
      </w:r>
      <w:proofErr w:type="gramEnd"/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от </w:t>
      </w:r>
      <w:r w:rsidR="00A37387">
        <w:rPr>
          <w:sz w:val="24"/>
        </w:rPr>
        <w:t>4 октября</w:t>
      </w:r>
      <w:r w:rsidRPr="00156E07">
        <w:rPr>
          <w:sz w:val="24"/>
        </w:rPr>
        <w:t xml:space="preserve">.2022 № </w:t>
      </w:r>
      <w:r w:rsidR="00A37387">
        <w:rPr>
          <w:sz w:val="24"/>
        </w:rPr>
        <w:t>19</w:t>
      </w:r>
      <w:r w:rsidRPr="00156E07">
        <w:rPr>
          <w:sz w:val="24"/>
        </w:rPr>
        <w:t>)</w:t>
      </w:r>
      <w:r w:rsidR="00D73F59">
        <w:rPr>
          <w:sz w:val="24"/>
        </w:rPr>
        <w:t xml:space="preserve"> 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</w:t>
      </w:r>
      <w:r w:rsidRPr="00382583">
        <w:rPr>
          <w:b/>
          <w:bCs/>
          <w:sz w:val="24"/>
        </w:rPr>
        <w:t xml:space="preserve"> </w:t>
      </w:r>
      <w:r w:rsidRPr="00382583">
        <w:rPr>
          <w:sz w:val="24"/>
        </w:rPr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</w:t>
      </w:r>
      <w:proofErr w:type="gramStart"/>
      <w:r w:rsidRPr="00382583">
        <w:rPr>
          <w:sz w:val="24"/>
        </w:rPr>
        <w:t>ТР</w:t>
      </w:r>
      <w:proofErr w:type="gramEnd"/>
      <w:r w:rsidRPr="00382583">
        <w:rPr>
          <w:sz w:val="24"/>
        </w:rPr>
        <w:t xml:space="preserve">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proofErr w:type="gramStart"/>
      <w:r w:rsidRPr="00382583">
        <w:rPr>
          <w:sz w:val="24"/>
        </w:rPr>
        <w:t>Инициалы, фамилия, должность, контактный телефон проверяющего (руководителя</w:t>
      </w:r>
      <w:proofErr w:type="gramEnd"/>
      <w:r w:rsidRPr="00382583">
        <w:rPr>
          <w:sz w:val="24"/>
        </w:rPr>
        <w:t xml:space="preserve">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proofErr w:type="gramStart"/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п</w:t>
            </w:r>
            <w:proofErr w:type="gramEnd"/>
            <w:r w:rsidRPr="00382583">
              <w:rPr>
                <w:sz w:val="22"/>
                <w:szCs w:val="22"/>
              </w:rPr>
              <w:t>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п. 8 </w:t>
            </w: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proofErr w:type="gramStart"/>
      <w:r w:rsidRPr="008A4161">
        <w:rPr>
          <w:sz w:val="24"/>
        </w:rPr>
        <w:t>ТР</w:t>
      </w:r>
      <w:proofErr w:type="gramEnd"/>
      <w:r w:rsidRPr="008A4161">
        <w:rPr>
          <w:sz w:val="24"/>
        </w:rPr>
        <w:t xml:space="preserve">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 xml:space="preserve">&lt;*&gt; 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proofErr w:type="spellStart"/>
      <w:r w:rsidRPr="00382583">
        <w:rPr>
          <w:b/>
          <w:bCs/>
          <w:sz w:val="24"/>
          <w:lang w:val="en-US" w:eastAsia="en-US"/>
        </w:rPr>
        <w:t>Оценка</w:t>
      </w:r>
      <w:proofErr w:type="spellEnd"/>
      <w:r w:rsidRPr="00382583">
        <w:rPr>
          <w:b/>
          <w:bCs/>
          <w:sz w:val="24"/>
          <w:lang w:val="en-US" w:eastAsia="en-US"/>
        </w:rPr>
        <w:t xml:space="preserve"> </w:t>
      </w:r>
      <w:proofErr w:type="spellStart"/>
      <w:r w:rsidRPr="00382583">
        <w:rPr>
          <w:b/>
          <w:bCs/>
          <w:sz w:val="24"/>
          <w:lang w:val="en-US" w:eastAsia="en-US"/>
        </w:rPr>
        <w:t>результатов</w:t>
      </w:r>
      <w:proofErr w:type="spellEnd"/>
      <w:r w:rsidRPr="00382583">
        <w:rPr>
          <w:b/>
          <w:bCs/>
          <w:sz w:val="24"/>
          <w:lang w:eastAsia="en-US"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382583">
              <w:rPr>
                <w:sz w:val="24"/>
                <w:lang w:eastAsia="en-US"/>
              </w:rPr>
              <w:t>санэпидблагополу</w:t>
            </w:r>
            <w:proofErr w:type="spellEnd"/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чия</w:t>
            </w:r>
            <w:proofErr w:type="spellEnd"/>
            <w:r w:rsidRPr="00382583"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Факти</w:t>
            </w:r>
            <w:proofErr w:type="spellEnd"/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ческое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мальное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382583">
              <w:rPr>
                <w:sz w:val="24"/>
                <w:lang w:eastAsia="en-US"/>
              </w:rPr>
              <w:t>ный</w:t>
            </w:r>
            <w:proofErr w:type="spellEnd"/>
            <w:r w:rsidRPr="00382583">
              <w:rPr>
                <w:sz w:val="24"/>
                <w:lang w:eastAsia="en-US"/>
              </w:rPr>
              <w:t xml:space="preserve">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  <w:r w:rsidRPr="00382583">
              <w:rPr>
                <w:sz w:val="24"/>
                <w:lang w:val="en-US" w:eastAsia="en-US"/>
              </w:rPr>
              <w:t xml:space="preserve"> </w:t>
            </w:r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 w:rsidRPr="00382583">
              <w:rPr>
                <w:sz w:val="24"/>
              </w:rPr>
              <w:t xml:space="preserve"> 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headerReference w:type="default" r:id="rId9"/>
      <w:headerReference w:type="firs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D5" w:rsidRDefault="001F42D5" w:rsidP="00AA4C50">
      <w:r>
        <w:separator/>
      </w:r>
    </w:p>
  </w:endnote>
  <w:endnote w:type="continuationSeparator" w:id="0">
    <w:p w:rsidR="001F42D5" w:rsidRDefault="001F42D5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D5" w:rsidRDefault="001F42D5" w:rsidP="00AA4C50">
      <w:r>
        <w:separator/>
      </w:r>
    </w:p>
  </w:footnote>
  <w:footnote w:type="continuationSeparator" w:id="0">
    <w:p w:rsidR="001F42D5" w:rsidRDefault="001F42D5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8B2BBD" w:rsidRDefault="000A2D83" w:rsidP="008B2B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1BA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0A2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A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21BAD"/>
    <w:rsid w:val="00124D75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1ABF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83685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AF7ACD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5BE5-4D22-4C4F-9932-7A68E9C2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5219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5887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Бузюк Дмитрий Иванович</cp:lastModifiedBy>
  <cp:revision>3</cp:revision>
  <cp:lastPrinted>2022-09-20T07:07:00Z</cp:lastPrinted>
  <dcterms:created xsi:type="dcterms:W3CDTF">2023-01-20T09:16:00Z</dcterms:created>
  <dcterms:modified xsi:type="dcterms:W3CDTF">2023-01-20T09:17:00Z</dcterms:modified>
</cp:coreProperties>
</file>